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88F9" w14:textId="0193A914" w:rsidR="00924E92" w:rsidRDefault="00924E92" w:rsidP="00924E92">
      <w:pPr>
        <w:spacing w:line="240" w:lineRule="auto"/>
        <w:jc w:val="center"/>
        <w:rPr>
          <w:b/>
          <w:bCs/>
          <w:u w:val="single"/>
        </w:rPr>
      </w:pPr>
      <w:r w:rsidRPr="00511ECD">
        <w:rPr>
          <w:noProof/>
          <w:color w:val="000000"/>
          <w:bdr w:val="none" w:sz="0" w:space="0" w:color="auto" w:frame="1"/>
        </w:rPr>
        <w:drawing>
          <wp:inline distT="0" distB="0" distL="0" distR="0" wp14:anchorId="18CA180B" wp14:editId="1C09252F">
            <wp:extent cx="1193074" cy="1193074"/>
            <wp:effectExtent l="0" t="0" r="7620" b="762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055" cy="1195055"/>
                    </a:xfrm>
                    <a:prstGeom prst="rect">
                      <a:avLst/>
                    </a:prstGeom>
                    <a:noFill/>
                    <a:ln>
                      <a:noFill/>
                    </a:ln>
                  </pic:spPr>
                </pic:pic>
              </a:graphicData>
            </a:graphic>
          </wp:inline>
        </w:drawing>
      </w:r>
    </w:p>
    <w:p w14:paraId="31B4F581" w14:textId="3B7B3557" w:rsidR="00924E92" w:rsidRPr="00511ECD" w:rsidRDefault="00924E92" w:rsidP="00924E92">
      <w:pPr>
        <w:keepNext/>
        <w:keepLines/>
        <w:spacing w:after="0" w:line="240" w:lineRule="auto"/>
        <w:ind w:right="121"/>
        <w:jc w:val="center"/>
        <w:outlineLvl w:val="0"/>
        <w:rPr>
          <w:rFonts w:asciiTheme="majorHAnsi" w:eastAsia="Calibri Light" w:hAnsiTheme="majorHAnsi" w:cs="Times New Roman"/>
          <w:b/>
          <w:bCs/>
          <w:color w:val="0A2F41" w:themeColor="accent1" w:themeShade="80"/>
        </w:rPr>
      </w:pPr>
      <w:r w:rsidRPr="00511ECD">
        <w:rPr>
          <w:rFonts w:asciiTheme="majorHAnsi" w:eastAsia="Calibri Light" w:hAnsiTheme="majorHAnsi" w:cs="Times New Roman"/>
          <w:b/>
          <w:bCs/>
          <w:color w:val="0A2F41" w:themeColor="accent1" w:themeShade="80"/>
        </w:rPr>
        <w:t xml:space="preserve">OREGON </w:t>
      </w:r>
      <w:r>
        <w:rPr>
          <w:rFonts w:asciiTheme="majorHAnsi" w:eastAsia="Calibri Light" w:hAnsiTheme="majorHAnsi" w:cs="Times New Roman"/>
          <w:b/>
          <w:bCs/>
          <w:color w:val="0A2F41" w:themeColor="accent1" w:themeShade="80"/>
        </w:rPr>
        <w:t xml:space="preserve">SENATE </w:t>
      </w:r>
      <w:r w:rsidRPr="00511ECD">
        <w:rPr>
          <w:rFonts w:asciiTheme="majorHAnsi" w:eastAsia="Calibri Light" w:hAnsiTheme="majorHAnsi" w:cs="Times New Roman"/>
          <w:b/>
          <w:bCs/>
          <w:color w:val="0A2F41" w:themeColor="accent1" w:themeShade="80"/>
        </w:rPr>
        <w:t>REPUBLICAN CAUCUS</w:t>
      </w:r>
    </w:p>
    <w:p w14:paraId="6A49F125" w14:textId="007ADD5D" w:rsidR="00924E92" w:rsidRPr="00924E92" w:rsidRDefault="00924E92" w:rsidP="00924E92">
      <w:pPr>
        <w:keepNext/>
        <w:keepLines/>
        <w:spacing w:line="240" w:lineRule="auto"/>
        <w:ind w:right="121"/>
        <w:jc w:val="center"/>
        <w:outlineLvl w:val="0"/>
        <w:rPr>
          <w:rFonts w:asciiTheme="majorHAnsi" w:eastAsia="Calibri Light" w:hAnsiTheme="majorHAnsi" w:cs="Times New Roman"/>
          <w:b/>
          <w:bCs/>
          <w:color w:val="0A2F41" w:themeColor="accent1" w:themeShade="80"/>
        </w:rPr>
      </w:pPr>
      <w:r w:rsidRPr="00511ECD">
        <w:rPr>
          <w:rFonts w:asciiTheme="majorHAnsi" w:eastAsia="Calibri Light" w:hAnsiTheme="majorHAnsi" w:cs="Times New Roman"/>
          <w:b/>
          <w:bCs/>
          <w:color w:val="0A2F41" w:themeColor="accent1" w:themeShade="80"/>
        </w:rPr>
        <w:t xml:space="preserve">SPECIAL SESSION </w:t>
      </w:r>
      <w:r w:rsidRPr="00511ECD">
        <w:rPr>
          <w:rFonts w:asciiTheme="majorHAnsi" w:eastAsia="Calibri Light" w:hAnsiTheme="majorHAnsi" w:cs="Times New Roman"/>
          <w:b/>
          <w:bCs/>
          <w:i/>
          <w:iCs/>
          <w:color w:val="0A2F41" w:themeColor="accent1" w:themeShade="80"/>
        </w:rPr>
        <w:t>NO NEW TAX</w:t>
      </w:r>
      <w:r w:rsidRPr="00511ECD">
        <w:rPr>
          <w:rFonts w:asciiTheme="majorHAnsi" w:eastAsia="Calibri Light" w:hAnsiTheme="majorHAnsi" w:cs="Times New Roman"/>
          <w:b/>
          <w:bCs/>
          <w:color w:val="0A2F41" w:themeColor="accent1" w:themeShade="80"/>
        </w:rPr>
        <w:t xml:space="preserve"> PROPOSAL</w:t>
      </w:r>
    </w:p>
    <w:p w14:paraId="73F1B7AA" w14:textId="5A9857F6" w:rsidR="00E242E1" w:rsidRPr="00924E92" w:rsidRDefault="00924E92" w:rsidP="00924E92">
      <w:pPr>
        <w:spacing w:line="240" w:lineRule="auto"/>
        <w:rPr>
          <w:rFonts w:asciiTheme="majorHAnsi" w:hAnsiTheme="majorHAnsi" w:cs="Times New Roman"/>
          <w:b/>
          <w:bCs/>
          <w:u w:val="single"/>
        </w:rPr>
      </w:pPr>
      <w:r w:rsidRPr="00924E92">
        <w:rPr>
          <w:rFonts w:asciiTheme="majorHAnsi" w:hAnsiTheme="majorHAnsi" w:cs="Times New Roman"/>
          <w:b/>
          <w:bCs/>
          <w:u w:val="single"/>
        </w:rPr>
        <w:t>S</w:t>
      </w:r>
      <w:r w:rsidR="0040432D" w:rsidRPr="00924E92">
        <w:rPr>
          <w:b/>
          <w:bCs/>
          <w:u w:val="single"/>
        </w:rPr>
        <w:t xml:space="preserve">RO </w:t>
      </w:r>
      <w:r w:rsidR="00E242E1" w:rsidRPr="00924E92">
        <w:rPr>
          <w:b/>
          <w:bCs/>
          <w:u w:val="single"/>
        </w:rPr>
        <w:t xml:space="preserve">Proposed </w:t>
      </w:r>
      <w:r w:rsidR="0040432D" w:rsidRPr="00924E92">
        <w:rPr>
          <w:b/>
          <w:bCs/>
          <w:u w:val="single"/>
        </w:rPr>
        <w:t>Amendment</w:t>
      </w:r>
      <w:r w:rsidR="00E242E1" w:rsidRPr="00924E92">
        <w:rPr>
          <w:b/>
          <w:bCs/>
          <w:u w:val="single"/>
        </w:rPr>
        <w:t xml:space="preserve"> Request</w:t>
      </w:r>
      <w:r w:rsidR="0040432D" w:rsidRPr="00924E92">
        <w:rPr>
          <w:b/>
          <w:bCs/>
          <w:u w:val="single"/>
        </w:rPr>
        <w:t>s</w:t>
      </w:r>
      <w:r w:rsidR="00E242E1" w:rsidRPr="00924E92">
        <w:rPr>
          <w:b/>
          <w:bCs/>
          <w:u w:val="single"/>
        </w:rPr>
        <w:t>:</w:t>
      </w:r>
    </w:p>
    <w:p w14:paraId="5A6BBADF" w14:textId="52DEC7D4" w:rsidR="00421FA5" w:rsidRPr="00C00E35" w:rsidRDefault="00421FA5" w:rsidP="00924E92">
      <w:pPr>
        <w:pStyle w:val="ListParagraph"/>
        <w:numPr>
          <w:ilvl w:val="0"/>
          <w:numId w:val="12"/>
        </w:numPr>
        <w:spacing w:line="240" w:lineRule="auto"/>
        <w:rPr>
          <w:b/>
          <w:bCs/>
        </w:rPr>
      </w:pPr>
      <w:r w:rsidRPr="00C00E35">
        <w:rPr>
          <w:b/>
          <w:bCs/>
        </w:rPr>
        <w:t>Eliminate PLA Executive Order</w:t>
      </w:r>
    </w:p>
    <w:p w14:paraId="45A4E89D" w14:textId="0E50F174" w:rsidR="00421FA5" w:rsidRDefault="00421FA5" w:rsidP="00924E92">
      <w:pPr>
        <w:pStyle w:val="ListParagraph"/>
        <w:numPr>
          <w:ilvl w:val="0"/>
          <w:numId w:val="13"/>
        </w:numPr>
        <w:spacing w:line="240" w:lineRule="auto"/>
      </w:pPr>
      <w:r w:rsidRPr="00C00E35">
        <w:t>The governor’s unilateral executive order requiring PLA agreements on ODOT projects has created an undue burden on Oregonians, driving up transportation costs.</w:t>
      </w:r>
      <w:r w:rsidR="006A3B72" w:rsidRPr="00C00E35">
        <w:t xml:space="preserve"> As the </w:t>
      </w:r>
      <w:hyperlink r:id="rId8" w:history="1">
        <w:r w:rsidR="006A3B72" w:rsidRPr="00C00E35">
          <w:rPr>
            <w:rStyle w:val="Hyperlink"/>
          </w:rPr>
          <w:t>Oregonian editorial board</w:t>
        </w:r>
      </w:hyperlink>
      <w:r w:rsidR="006A3B72" w:rsidRPr="00C00E35">
        <w:t xml:space="preserve"> noted: “The order discourages competition, making projects significantly more expensive, as an ODOT report found, concluding the agreements can increase costs by up to 20%.”</w:t>
      </w:r>
      <w:r w:rsidR="00E242E1" w:rsidRPr="00C00E35">
        <w:t xml:space="preserve"> </w:t>
      </w:r>
      <w:r w:rsidRPr="00C00E35">
        <w:t>Senator Bonham’s amendment removes the governor’s special-interest mandatory PLA agreements on ODOT projects.</w:t>
      </w:r>
      <w:r w:rsidR="00E242E1" w:rsidRPr="00C00E35">
        <w:t xml:space="preserve"> </w:t>
      </w:r>
    </w:p>
    <w:p w14:paraId="68E2BEE3" w14:textId="77777777" w:rsidR="00924E92" w:rsidRPr="00C00E35" w:rsidRDefault="00924E92" w:rsidP="00924E92">
      <w:pPr>
        <w:pStyle w:val="ListParagraph"/>
        <w:spacing w:line="240" w:lineRule="auto"/>
      </w:pPr>
    </w:p>
    <w:p w14:paraId="5638A54D" w14:textId="27349B89" w:rsidR="00E242E1" w:rsidRPr="002A0F6C" w:rsidRDefault="00421FA5" w:rsidP="00924E92">
      <w:pPr>
        <w:pStyle w:val="ListParagraph"/>
        <w:numPr>
          <w:ilvl w:val="0"/>
          <w:numId w:val="12"/>
        </w:numPr>
        <w:spacing w:line="240" w:lineRule="auto"/>
        <w:rPr>
          <w:b/>
          <w:bCs/>
        </w:rPr>
      </w:pPr>
      <w:r w:rsidRPr="002A0F6C">
        <w:rPr>
          <w:b/>
          <w:bCs/>
        </w:rPr>
        <w:t>Require ODOT and DOJ to Report to the Joint Transportation Committee on Restructuring the ADA Settlement</w:t>
      </w:r>
      <w:r w:rsidR="00E242E1" w:rsidRPr="002A0F6C">
        <w:rPr>
          <w:b/>
          <w:bCs/>
        </w:rPr>
        <w:t xml:space="preserve"> </w:t>
      </w:r>
    </w:p>
    <w:p w14:paraId="3B7B1079" w14:textId="327E0C1B" w:rsidR="0048149E" w:rsidRPr="00C00E35" w:rsidRDefault="00421FA5" w:rsidP="00924E92">
      <w:pPr>
        <w:pStyle w:val="ListParagraph"/>
        <w:numPr>
          <w:ilvl w:val="0"/>
          <w:numId w:val="13"/>
        </w:numPr>
        <w:spacing w:line="240" w:lineRule="auto"/>
      </w:pPr>
      <w:r w:rsidRPr="00C00E35">
        <w:t xml:space="preserve">The ADA settlement was initially projected to cost the state around </w:t>
      </w:r>
      <w:hyperlink r:id="rId9" w:history="1">
        <w:r w:rsidRPr="00C00E35">
          <w:rPr>
            <w:rStyle w:val="Hyperlink"/>
          </w:rPr>
          <w:t>$</w:t>
        </w:r>
        <w:r w:rsidR="00E242E1" w:rsidRPr="00C00E35">
          <w:rPr>
            <w:rStyle w:val="Hyperlink"/>
          </w:rPr>
          <w:t>18 million</w:t>
        </w:r>
      </w:hyperlink>
      <w:r w:rsidR="00E242E1" w:rsidRPr="00C00E35">
        <w:t xml:space="preserve">. </w:t>
      </w:r>
      <w:r w:rsidRPr="00C00E35">
        <w:t>Due to inflation and other factors, the settlement has ballooned to approximately $1.8 billion. Senator Bonham’s amendment would require both ODOT and DOJ to conduct a study and return to the Joint Transportation Committee with a report on what it would take to restructure the settlement and a timeline for ADA project completion beyond the 2032 agreed settlement.</w:t>
      </w:r>
    </w:p>
    <w:p w14:paraId="32D90C28" w14:textId="44F2BF87" w:rsidR="00E242E1" w:rsidRPr="00C00E35" w:rsidRDefault="00421FA5" w:rsidP="00924E92">
      <w:pPr>
        <w:pStyle w:val="ListParagraph"/>
        <w:numPr>
          <w:ilvl w:val="0"/>
          <w:numId w:val="13"/>
        </w:numPr>
        <w:spacing w:line="240" w:lineRule="auto"/>
      </w:pPr>
      <w:r w:rsidRPr="00C00E35">
        <w:t>ODOT is using federal GARVEE bonds to pay for curb ramps to nowhere under this settlement, and those federal bonds are some of the most flexible funds that could potentially be used for ODOT’s operations and maintenance</w:t>
      </w:r>
      <w:r w:rsidR="0048149E" w:rsidRPr="00C00E35">
        <w:t>.</w:t>
      </w:r>
      <w:r w:rsidR="00E242E1" w:rsidRPr="00C00E35">
        <w:t xml:space="preserve"> </w:t>
      </w:r>
    </w:p>
    <w:p w14:paraId="7C7DE415" w14:textId="4BB0F4F4" w:rsidR="00421FA5" w:rsidRDefault="00421FA5" w:rsidP="00924E92">
      <w:pPr>
        <w:pStyle w:val="ListParagraph"/>
        <w:numPr>
          <w:ilvl w:val="0"/>
          <w:numId w:val="13"/>
        </w:numPr>
        <w:spacing w:line="240" w:lineRule="auto"/>
      </w:pPr>
      <w:r w:rsidRPr="00C00E35">
        <w:t>The report must include recommendations on how to limit the amount ODOT is allowed to let the DOJ settle without legislative approval.</w:t>
      </w:r>
      <w:r w:rsidR="00E242E1" w:rsidRPr="00C00E35">
        <w:t xml:space="preserve"> </w:t>
      </w:r>
    </w:p>
    <w:p w14:paraId="74EFB885" w14:textId="77777777" w:rsidR="00924E92" w:rsidRPr="00C00E35" w:rsidRDefault="00924E92" w:rsidP="00924E92">
      <w:pPr>
        <w:pStyle w:val="ListParagraph"/>
        <w:spacing w:line="240" w:lineRule="auto"/>
      </w:pPr>
    </w:p>
    <w:p w14:paraId="516CC245" w14:textId="77777777" w:rsidR="00421FA5" w:rsidRPr="002A0F6C" w:rsidRDefault="00421FA5" w:rsidP="00924E92">
      <w:pPr>
        <w:pStyle w:val="ListParagraph"/>
        <w:numPr>
          <w:ilvl w:val="0"/>
          <w:numId w:val="12"/>
        </w:numPr>
        <w:spacing w:line="240" w:lineRule="auto"/>
        <w:rPr>
          <w:b/>
          <w:bCs/>
        </w:rPr>
      </w:pPr>
      <w:r w:rsidRPr="002A0F6C">
        <w:rPr>
          <w:b/>
          <w:bCs/>
        </w:rPr>
        <w:t>Eliminate the Clean Trucks Mandate</w:t>
      </w:r>
    </w:p>
    <w:p w14:paraId="3864C013" w14:textId="159DCA19" w:rsidR="00421FA5" w:rsidRDefault="008F5C6D" w:rsidP="00924E92">
      <w:pPr>
        <w:pStyle w:val="ListParagraph"/>
        <w:numPr>
          <w:ilvl w:val="0"/>
          <w:numId w:val="14"/>
        </w:numPr>
        <w:spacing w:line="240" w:lineRule="auto"/>
      </w:pPr>
      <w:r w:rsidRPr="00C00E35">
        <w:t>These rules and standard</w:t>
      </w:r>
      <w:r w:rsidR="00C00E35" w:rsidRPr="00C00E35">
        <w:t>s</w:t>
      </w:r>
      <w:r w:rsidRPr="00C00E35">
        <w:t xml:space="preserve"> are currently unattainable. The state is wasting time and </w:t>
      </w:r>
      <w:r w:rsidR="0040432D" w:rsidRPr="00C00E35">
        <w:t>re</w:t>
      </w:r>
      <w:r w:rsidR="00C00E35" w:rsidRPr="00C00E35">
        <w:t>s</w:t>
      </w:r>
      <w:r w:rsidR="0040432D" w:rsidRPr="00C00E35">
        <w:t>our</w:t>
      </w:r>
      <w:r w:rsidR="00C00E35" w:rsidRPr="00C00E35">
        <w:t>c</w:t>
      </w:r>
      <w:r w:rsidR="0040432D" w:rsidRPr="00C00E35">
        <w:t>es</w:t>
      </w:r>
      <w:r w:rsidRPr="00C00E35">
        <w:t xml:space="preserve"> continuously </w:t>
      </w:r>
      <w:hyperlink r:id="rId10" w:history="1">
        <w:r w:rsidRPr="00C00E35">
          <w:rPr>
            <w:rStyle w:val="Hyperlink"/>
          </w:rPr>
          <w:t>revising rules</w:t>
        </w:r>
      </w:hyperlink>
      <w:r w:rsidRPr="00C00E35">
        <w:t xml:space="preserve"> </w:t>
      </w:r>
      <w:r w:rsidR="00C00E35" w:rsidRPr="00C00E35">
        <w:t>around this unachievable mandate. It is time to eliminate it and help provide price stability to the market. The amendment would eliminate this mandate</w:t>
      </w:r>
      <w:r w:rsidR="00CF502C" w:rsidRPr="00C00E35">
        <w:t>.</w:t>
      </w:r>
    </w:p>
    <w:p w14:paraId="69950F6D" w14:textId="77777777" w:rsidR="00924E92" w:rsidRPr="00C00E35" w:rsidRDefault="00924E92" w:rsidP="00924E92">
      <w:pPr>
        <w:pStyle w:val="ListParagraph"/>
        <w:spacing w:line="240" w:lineRule="auto"/>
      </w:pPr>
    </w:p>
    <w:p w14:paraId="11FC886D" w14:textId="165AA4BF" w:rsidR="008F5C6D" w:rsidRPr="002A0F6C" w:rsidRDefault="008F5C6D" w:rsidP="00924E92">
      <w:pPr>
        <w:pStyle w:val="ListParagraph"/>
        <w:numPr>
          <w:ilvl w:val="0"/>
          <w:numId w:val="12"/>
        </w:numPr>
        <w:spacing w:line="240" w:lineRule="auto"/>
        <w:rPr>
          <w:b/>
          <w:bCs/>
        </w:rPr>
      </w:pPr>
      <w:r w:rsidRPr="002A0F6C">
        <w:rPr>
          <w:b/>
          <w:bCs/>
        </w:rPr>
        <w:t xml:space="preserve">Eliminate the EV </w:t>
      </w:r>
      <w:r w:rsidR="00C00E35" w:rsidRPr="002A0F6C">
        <w:rPr>
          <w:b/>
          <w:bCs/>
        </w:rPr>
        <w:t>M</w:t>
      </w:r>
      <w:r w:rsidRPr="002A0F6C">
        <w:rPr>
          <w:b/>
          <w:bCs/>
        </w:rPr>
        <w:t>andate</w:t>
      </w:r>
    </w:p>
    <w:p w14:paraId="10D164CD" w14:textId="77777777" w:rsidR="00C00E35" w:rsidRPr="00C00E35" w:rsidRDefault="00C00E35" w:rsidP="00924E92">
      <w:pPr>
        <w:pStyle w:val="ListParagraph"/>
        <w:numPr>
          <w:ilvl w:val="0"/>
          <w:numId w:val="14"/>
        </w:numPr>
        <w:spacing w:line="240" w:lineRule="auto"/>
      </w:pPr>
      <w:r w:rsidRPr="00C00E35">
        <w:t>Oregon’s Advanced Clean Cars II (ACC II) regulation requires all new passenger cars, light-duty trucks, and SUVs sold in the state to be zero-emission vehicles (ZEVs) or plug-in hybrids by the 2035 model year, starting with 35% ZEV sales in 2026. Oregonians are already burdened with everyday costs. These administrative rules make vehicles more expensive for Oregonians. The amendment would eliminate this mandate.</w:t>
      </w:r>
    </w:p>
    <w:p w14:paraId="2DDE4295" w14:textId="472C7D58" w:rsidR="00C00E35" w:rsidRPr="002A0F6C" w:rsidRDefault="008F5C6D" w:rsidP="00924E92">
      <w:pPr>
        <w:pStyle w:val="ListParagraph"/>
        <w:numPr>
          <w:ilvl w:val="0"/>
          <w:numId w:val="12"/>
        </w:numPr>
        <w:spacing w:line="240" w:lineRule="auto"/>
        <w:rPr>
          <w:b/>
          <w:bCs/>
        </w:rPr>
      </w:pPr>
      <w:r w:rsidRPr="002A0F6C">
        <w:rPr>
          <w:b/>
          <w:bCs/>
        </w:rPr>
        <w:lastRenderedPageBreak/>
        <w:t>DMV Data Protection</w:t>
      </w:r>
    </w:p>
    <w:p w14:paraId="1919A7D7" w14:textId="30282D16" w:rsidR="008F5C6D" w:rsidRDefault="008F5C6D" w:rsidP="00924E92">
      <w:pPr>
        <w:pStyle w:val="ListParagraph"/>
        <w:numPr>
          <w:ilvl w:val="0"/>
          <w:numId w:val="14"/>
        </w:numPr>
        <w:spacing w:line="240" w:lineRule="auto"/>
      </w:pPr>
      <w:r w:rsidRPr="00C00E35">
        <w:t xml:space="preserve">It was </w:t>
      </w:r>
      <w:hyperlink r:id="rId11" w:history="1">
        <w:r w:rsidRPr="00C00E35">
          <w:rPr>
            <w:rStyle w:val="Hyperlink"/>
          </w:rPr>
          <w:t>recently reported</w:t>
        </w:r>
      </w:hyperlink>
      <w:r w:rsidRPr="00C00E35">
        <w:t xml:space="preserve"> </w:t>
      </w:r>
      <w:r w:rsidR="00C00E35" w:rsidRPr="00C00E35">
        <w:t>that the Oregon DMV is selling Oregonians’ personal data. This is unacceptable. Adopting this amendment would immediately protect Oregonians’ data</w:t>
      </w:r>
      <w:r w:rsidRPr="00C00E35">
        <w:t xml:space="preserve">. </w:t>
      </w:r>
    </w:p>
    <w:p w14:paraId="71E399C6" w14:textId="77777777" w:rsidR="00924E92" w:rsidRPr="00C00E35" w:rsidRDefault="00924E92" w:rsidP="00924E92">
      <w:pPr>
        <w:pStyle w:val="ListParagraph"/>
        <w:spacing w:line="240" w:lineRule="auto"/>
      </w:pPr>
    </w:p>
    <w:p w14:paraId="38AB74EC" w14:textId="4F5245B8" w:rsidR="008F5C6D" w:rsidRPr="002A0F6C" w:rsidRDefault="008F5C6D" w:rsidP="00924E92">
      <w:pPr>
        <w:pStyle w:val="ListParagraph"/>
        <w:numPr>
          <w:ilvl w:val="0"/>
          <w:numId w:val="12"/>
        </w:numPr>
        <w:spacing w:line="240" w:lineRule="auto"/>
        <w:rPr>
          <w:b/>
          <w:bCs/>
        </w:rPr>
      </w:pPr>
      <w:r w:rsidRPr="002A0F6C">
        <w:rPr>
          <w:b/>
          <w:bCs/>
        </w:rPr>
        <w:t>Protecting Legislative Constitutional Oversight of HCAS</w:t>
      </w:r>
    </w:p>
    <w:p w14:paraId="065B0EB8" w14:textId="5C2087C3" w:rsidR="0048149E" w:rsidRPr="00C00E35" w:rsidRDefault="00C00E35" w:rsidP="00924E92">
      <w:pPr>
        <w:pStyle w:val="ListParagraph"/>
        <w:numPr>
          <w:ilvl w:val="0"/>
          <w:numId w:val="14"/>
        </w:numPr>
        <w:spacing w:line="240" w:lineRule="auto"/>
      </w:pPr>
      <w:r w:rsidRPr="00C00E35">
        <w:t>The Oregon Constitution requires that taxes for roads be proportionate to the damage different vehicles cause. Heavy semi-trucks pay more than average cars because their weight does more damage. The governor’s current bill would diminish the Constitutional authority of the legislature to make these tax adjustments and hand that authority to unelected bureaucrats. It is an executive power grab</w:t>
      </w:r>
      <w:r w:rsidR="00CF502C" w:rsidRPr="00C00E35">
        <w:t xml:space="preserve">. </w:t>
      </w:r>
    </w:p>
    <w:p w14:paraId="5D9F3F74" w14:textId="72C94ED8" w:rsidR="008F5C6D" w:rsidRDefault="00C00E35" w:rsidP="00924E92">
      <w:pPr>
        <w:pStyle w:val="ListParagraph"/>
        <w:numPr>
          <w:ilvl w:val="0"/>
          <w:numId w:val="14"/>
        </w:numPr>
        <w:spacing w:line="240" w:lineRule="auto"/>
      </w:pPr>
      <w:r w:rsidRPr="00C00E35">
        <w:t>The provision we want to eliminate in the governor’s tax bill can be found in Section 12 of the bill. Senator Bonham’s amendment would simply remove this provision</w:t>
      </w:r>
      <w:r w:rsidR="00CF502C" w:rsidRPr="00C00E35">
        <w:t xml:space="preserve">. </w:t>
      </w:r>
    </w:p>
    <w:p w14:paraId="65E2D3CA" w14:textId="77777777" w:rsidR="00924E92" w:rsidRPr="00C00E35" w:rsidRDefault="00924E92" w:rsidP="00924E92">
      <w:pPr>
        <w:pStyle w:val="ListParagraph"/>
        <w:spacing w:line="240" w:lineRule="auto"/>
      </w:pPr>
    </w:p>
    <w:p w14:paraId="0D97EB47" w14:textId="77777777" w:rsidR="00C00E35" w:rsidRPr="002A0F6C" w:rsidRDefault="00C00E35" w:rsidP="00924E92">
      <w:pPr>
        <w:pStyle w:val="ListParagraph"/>
        <w:numPr>
          <w:ilvl w:val="0"/>
          <w:numId w:val="12"/>
        </w:numPr>
        <w:spacing w:line="240" w:lineRule="auto"/>
        <w:rPr>
          <w:b/>
          <w:bCs/>
        </w:rPr>
      </w:pPr>
      <w:r w:rsidRPr="002A0F6C">
        <w:rPr>
          <w:b/>
          <w:bCs/>
        </w:rPr>
        <w:t>Redirect Money from the Governor’s Slush Fund (Climate Protection Program, CPP</w:t>
      </w:r>
      <w:r w:rsidR="00CF502C" w:rsidRPr="002A0F6C">
        <w:rPr>
          <w:b/>
          <w:bCs/>
        </w:rPr>
        <w:t>)</w:t>
      </w:r>
    </w:p>
    <w:p w14:paraId="0571565D" w14:textId="36484550" w:rsidR="00CF502C" w:rsidRPr="00C00E35" w:rsidRDefault="0055467F" w:rsidP="00924E92">
      <w:pPr>
        <w:spacing w:line="240" w:lineRule="auto"/>
        <w:rPr>
          <w:i/>
          <w:iCs/>
        </w:rPr>
      </w:pPr>
      <w:r w:rsidRPr="00C00E35">
        <w:rPr>
          <w:i/>
          <w:iCs/>
        </w:rPr>
        <w:t xml:space="preserve">This amendment is combined with number 8 on this list. </w:t>
      </w:r>
    </w:p>
    <w:p w14:paraId="5CACB9B8" w14:textId="77777777" w:rsidR="00C00E35" w:rsidRPr="00C00E35" w:rsidRDefault="00C00E35" w:rsidP="00924E92">
      <w:pPr>
        <w:spacing w:line="240" w:lineRule="auto"/>
      </w:pPr>
      <w:r w:rsidRPr="00C00E35">
        <w:t>Governor Kotek has continued the Climate Protection Program, which is projected to significantly raise energy costs on Oregonians. The amendment would:</w:t>
      </w:r>
    </w:p>
    <w:p w14:paraId="2A649C98" w14:textId="1317EEBF" w:rsidR="0055467F" w:rsidRPr="00C00E35" w:rsidRDefault="00C00E35" w:rsidP="00924E92">
      <w:pPr>
        <w:pStyle w:val="ListParagraph"/>
        <w:numPr>
          <w:ilvl w:val="0"/>
          <w:numId w:val="15"/>
        </w:numPr>
        <w:spacing w:line="240" w:lineRule="auto"/>
      </w:pPr>
      <w:r w:rsidRPr="00C00E35">
        <w:t xml:space="preserve">Note that DEQ has been dishonest about the money that will be collected under this scheme. Technically, the state will not bring in revenue from this program. The reason is that DEQ created administrative rules to direct all the money into the coffers of nonprofits for pet projects. This is unacceptable, fiscally irresponsible, and unaccountable. The Senate Committee on Energy and Environment </w:t>
      </w:r>
      <w:hyperlink r:id="rId12" w:history="1">
        <w:r w:rsidR="0055467F" w:rsidRPr="00C00E35">
          <w:rPr>
            <w:rStyle w:val="Hyperlink"/>
          </w:rPr>
          <w:t>held a hearing</w:t>
        </w:r>
      </w:hyperlink>
      <w:r w:rsidR="0055467F" w:rsidRPr="00C00E35">
        <w:t xml:space="preserve"> </w:t>
      </w:r>
      <w:r w:rsidRPr="00C00E35">
        <w:t>on this program at the end of the 2025 session. The Democrat chair was surprised that DEQ had not done any due diligence on revenue estimates and stunned that they did not know how much nonprofits would benefit from this scheme.</w:t>
      </w:r>
      <w:r w:rsidR="0055467F" w:rsidRPr="00C00E35">
        <w:t xml:space="preserve"> </w:t>
      </w:r>
    </w:p>
    <w:p w14:paraId="13AD0799" w14:textId="637DAC64" w:rsidR="00A7414F" w:rsidRPr="00C00E35" w:rsidRDefault="00C00E35" w:rsidP="00924E92">
      <w:pPr>
        <w:pStyle w:val="ListParagraph"/>
        <w:numPr>
          <w:ilvl w:val="0"/>
          <w:numId w:val="15"/>
        </w:numPr>
        <w:spacing w:line="240" w:lineRule="auto"/>
      </w:pPr>
      <w:r w:rsidRPr="00C00E35">
        <w:t xml:space="preserve">Recognize that this can be a significant source of money to help ODOT with operations and maintenance. Although the agency cannot provide solid numbers, we have an idea due to similarities with the cap-and-trade proposal. During the legislature’s failed attempt to pass cap-and-trade in 2019 and 2020, revenue estimates from fuel under that program suggested, </w:t>
      </w:r>
      <w:hyperlink r:id="rId13" w:history="1">
        <w:r w:rsidRPr="00C00E35">
          <w:rPr>
            <w:rStyle w:val="Hyperlink"/>
          </w:rPr>
          <w:t>a</w:t>
        </w:r>
        <w:r w:rsidR="00AC77A4" w:rsidRPr="00C00E35">
          <w:rPr>
            <w:rStyle w:val="Hyperlink"/>
          </w:rPr>
          <w:t xml:space="preserve">ccording to </w:t>
        </w:r>
        <w:r w:rsidRPr="00C00E35">
          <w:rPr>
            <w:rStyle w:val="Hyperlink"/>
          </w:rPr>
          <w:t>T</w:t>
        </w:r>
        <w:r w:rsidR="00AC77A4" w:rsidRPr="00C00E35">
          <w:rPr>
            <w:rStyle w:val="Hyperlink"/>
          </w:rPr>
          <w:t>he Oregonian</w:t>
        </w:r>
      </w:hyperlink>
      <w:r w:rsidR="00AC77A4" w:rsidRPr="00C00E35">
        <w:t xml:space="preserve"> and </w:t>
      </w:r>
      <w:r w:rsidRPr="00C00E35">
        <w:t>r</w:t>
      </w:r>
      <w:r w:rsidR="00AC77A4" w:rsidRPr="00C00E35">
        <w:t xml:space="preserve">evenue estimates at that time, </w:t>
      </w:r>
      <w:r w:rsidRPr="00C00E35">
        <w:t xml:space="preserve">that in year one, the program “...roughly translates to gas price increases ranging from 19 cents to 72 cents a gallon. By 2030, </w:t>
      </w:r>
      <w:proofErr w:type="spellStart"/>
      <w:r w:rsidRPr="00C00E35">
        <w:t>it’s</w:t>
      </w:r>
      <w:proofErr w:type="spellEnd"/>
      <w:r w:rsidRPr="00C00E35">
        <w:t xml:space="preserve"> forecast between 36 cents and $1.45 per gallon. And by 2050, when the policy reaches full effect, per gallon prices could rise between $1.51 and $5.64.”</w:t>
      </w:r>
    </w:p>
    <w:p w14:paraId="3E268F27" w14:textId="77777777" w:rsidR="00C00E35" w:rsidRPr="00C00E35" w:rsidRDefault="00C00E35" w:rsidP="00924E92">
      <w:pPr>
        <w:pStyle w:val="ListParagraph"/>
        <w:numPr>
          <w:ilvl w:val="1"/>
          <w:numId w:val="15"/>
        </w:numPr>
        <w:spacing w:line="240" w:lineRule="auto"/>
      </w:pPr>
      <w:r w:rsidRPr="00C00E35">
        <w:t>This potentially would bring in hundreds of millions for ODOT operations and maintenance and aligns with Oregon’s Constitutional requirement that taxes on fuel be spent on roads and maintenance.</w:t>
      </w:r>
    </w:p>
    <w:p w14:paraId="2D9663B0" w14:textId="2C4DF3D1" w:rsidR="00C00E35" w:rsidRDefault="00C00E35" w:rsidP="00924E92">
      <w:pPr>
        <w:pStyle w:val="ListParagraph"/>
        <w:numPr>
          <w:ilvl w:val="0"/>
          <w:numId w:val="15"/>
        </w:numPr>
        <w:spacing w:line="240" w:lineRule="auto"/>
      </w:pPr>
      <w:r w:rsidRPr="00C00E35">
        <w:t>Redirect money taxed from fuel under this scheme to the State Highway Fund, as required by Article IX, Section 3a of the Oregon Constitution.</w:t>
      </w:r>
    </w:p>
    <w:p w14:paraId="65DD928A" w14:textId="77777777" w:rsidR="00924E92" w:rsidRDefault="00924E92" w:rsidP="00924E92">
      <w:pPr>
        <w:pStyle w:val="ListParagraph"/>
        <w:spacing w:line="240" w:lineRule="auto"/>
      </w:pPr>
    </w:p>
    <w:p w14:paraId="700BD987" w14:textId="77777777" w:rsidR="00924E92" w:rsidRDefault="00924E92" w:rsidP="00924E92">
      <w:pPr>
        <w:pStyle w:val="ListParagraph"/>
        <w:spacing w:line="240" w:lineRule="auto"/>
      </w:pPr>
    </w:p>
    <w:p w14:paraId="04B4FDB7" w14:textId="77777777" w:rsidR="00924E92" w:rsidRDefault="00924E92" w:rsidP="00924E92">
      <w:pPr>
        <w:pStyle w:val="ListParagraph"/>
        <w:spacing w:line="240" w:lineRule="auto"/>
      </w:pPr>
    </w:p>
    <w:p w14:paraId="024804E9" w14:textId="77777777" w:rsidR="00924E92" w:rsidRDefault="00924E92" w:rsidP="00924E92">
      <w:pPr>
        <w:pStyle w:val="ListParagraph"/>
        <w:spacing w:line="240" w:lineRule="auto"/>
      </w:pPr>
    </w:p>
    <w:p w14:paraId="7F8A52D6" w14:textId="77777777" w:rsidR="00924E92" w:rsidRDefault="00924E92" w:rsidP="00924E92">
      <w:pPr>
        <w:pStyle w:val="ListParagraph"/>
        <w:spacing w:line="240" w:lineRule="auto"/>
      </w:pPr>
    </w:p>
    <w:p w14:paraId="1A886CAF" w14:textId="77777777" w:rsidR="00924E92" w:rsidRPr="00C00E35" w:rsidRDefault="00924E92" w:rsidP="00924E92">
      <w:pPr>
        <w:pStyle w:val="ListParagraph"/>
        <w:spacing w:line="240" w:lineRule="auto"/>
      </w:pPr>
    </w:p>
    <w:p w14:paraId="4751D351" w14:textId="517FD485" w:rsidR="00E242E1" w:rsidRPr="002A0F6C" w:rsidRDefault="00C00E35" w:rsidP="00924E92">
      <w:pPr>
        <w:pStyle w:val="ListParagraph"/>
        <w:numPr>
          <w:ilvl w:val="0"/>
          <w:numId w:val="12"/>
        </w:numPr>
        <w:spacing w:line="240" w:lineRule="auto"/>
        <w:rPr>
          <w:b/>
          <w:bCs/>
        </w:rPr>
      </w:pPr>
      <w:r w:rsidRPr="002A0F6C">
        <w:rPr>
          <w:b/>
          <w:bCs/>
        </w:rPr>
        <w:lastRenderedPageBreak/>
        <w:t>ORS Changes to Reallocate Current Funding &amp; Climate Protection Program (CPP)</w:t>
      </w:r>
    </w:p>
    <w:tbl>
      <w:tblPr>
        <w:tblStyle w:val="TableGrid1"/>
        <w:tblW w:w="9895" w:type="dxa"/>
        <w:tblLook w:val="04A0" w:firstRow="1" w:lastRow="0" w:firstColumn="1" w:lastColumn="0" w:noHBand="0" w:noVBand="1"/>
      </w:tblPr>
      <w:tblGrid>
        <w:gridCol w:w="2181"/>
        <w:gridCol w:w="1400"/>
        <w:gridCol w:w="5255"/>
        <w:gridCol w:w="1059"/>
      </w:tblGrid>
      <w:tr w:rsidR="00E242E1" w:rsidRPr="002A0F6C" w14:paraId="63B8EFE4" w14:textId="77777777" w:rsidTr="0048433D">
        <w:tc>
          <w:tcPr>
            <w:tcW w:w="2182" w:type="dxa"/>
          </w:tcPr>
          <w:p w14:paraId="2924A9BC" w14:textId="77777777" w:rsidR="00E242E1" w:rsidRPr="002A0F6C" w:rsidRDefault="00E242E1" w:rsidP="00924E92">
            <w:pPr>
              <w:rPr>
                <w:rFonts w:eastAsia="Calibri" w:cs="Times New Roman"/>
                <w:sz w:val="22"/>
                <w:szCs w:val="22"/>
              </w:rPr>
            </w:pPr>
            <w:r w:rsidRPr="002A0F6C">
              <w:rPr>
                <w:rFonts w:eastAsia="Calibri" w:cs="Times New Roman"/>
                <w:sz w:val="22"/>
                <w:szCs w:val="22"/>
              </w:rPr>
              <w:t>Reduction Option</w:t>
            </w:r>
          </w:p>
        </w:tc>
        <w:tc>
          <w:tcPr>
            <w:tcW w:w="1400" w:type="dxa"/>
          </w:tcPr>
          <w:p w14:paraId="7E906CEE"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Total </w:t>
            </w:r>
          </w:p>
        </w:tc>
        <w:tc>
          <w:tcPr>
            <w:tcW w:w="5260" w:type="dxa"/>
          </w:tcPr>
          <w:p w14:paraId="05AFEC49"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Impact/Notes </w:t>
            </w:r>
          </w:p>
        </w:tc>
        <w:tc>
          <w:tcPr>
            <w:tcW w:w="1053" w:type="dxa"/>
          </w:tcPr>
          <w:p w14:paraId="49086FE1" w14:textId="77777777" w:rsidR="00E242E1" w:rsidRPr="002A0F6C" w:rsidRDefault="00E242E1" w:rsidP="00924E92">
            <w:pPr>
              <w:rPr>
                <w:rFonts w:eastAsia="Calibri" w:cs="Times New Roman"/>
                <w:sz w:val="22"/>
                <w:szCs w:val="22"/>
              </w:rPr>
            </w:pPr>
            <w:r w:rsidRPr="002A0F6C">
              <w:rPr>
                <w:rFonts w:eastAsia="Calibri" w:cs="Times New Roman"/>
                <w:sz w:val="22"/>
                <w:szCs w:val="22"/>
              </w:rPr>
              <w:t>ORS</w:t>
            </w:r>
          </w:p>
        </w:tc>
      </w:tr>
      <w:tr w:rsidR="00E242E1" w:rsidRPr="002A0F6C" w14:paraId="1C4DB8E5" w14:textId="77777777" w:rsidTr="0048433D">
        <w:tc>
          <w:tcPr>
            <w:tcW w:w="2182" w:type="dxa"/>
          </w:tcPr>
          <w:p w14:paraId="48D7DFE9"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Redirect FHWA funding from the Innovative Mobility Program for other eligible uses. Redirect TOF funds to operations and maintenance. </w:t>
            </w:r>
          </w:p>
        </w:tc>
        <w:tc>
          <w:tcPr>
            <w:tcW w:w="1400" w:type="dxa"/>
          </w:tcPr>
          <w:p w14:paraId="1CB5BE92" w14:textId="77777777" w:rsidR="00E242E1" w:rsidRPr="002A0F6C" w:rsidRDefault="00E242E1" w:rsidP="00924E92">
            <w:pPr>
              <w:rPr>
                <w:rFonts w:eastAsia="Calibri" w:cs="Times New Roman"/>
                <w:sz w:val="22"/>
                <w:szCs w:val="22"/>
              </w:rPr>
            </w:pPr>
            <w:r w:rsidRPr="002A0F6C">
              <w:rPr>
                <w:rFonts w:eastAsia="Calibri" w:cs="Times New Roman"/>
                <w:sz w:val="22"/>
                <w:szCs w:val="22"/>
              </w:rPr>
              <w:t>10,000,000</w:t>
            </w:r>
          </w:p>
        </w:tc>
        <w:tc>
          <w:tcPr>
            <w:tcW w:w="5260" w:type="dxa"/>
          </w:tcPr>
          <w:p w14:paraId="035CA11D"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The OTC allocated Federal Highway Administration formula funds and Transportation Operating Funds to this Program, which aims to improve historically underserved communities’ access to public and active transportation. </w:t>
            </w:r>
            <w:r w:rsidRPr="002A0F6C">
              <w:rPr>
                <w:rFonts w:eastAsia="Calibri" w:cs="Times New Roman"/>
                <w:b/>
                <w:bCs/>
                <w:sz w:val="22"/>
                <w:szCs w:val="22"/>
              </w:rPr>
              <w:t xml:space="preserve">The FHWA funds could be reallocated to other types of </w:t>
            </w:r>
            <w:proofErr w:type="gramStart"/>
            <w:r w:rsidRPr="002A0F6C">
              <w:rPr>
                <w:rFonts w:eastAsia="Calibri" w:cs="Times New Roman"/>
                <w:b/>
                <w:bCs/>
                <w:sz w:val="22"/>
                <w:szCs w:val="22"/>
              </w:rPr>
              <w:t>projects, but</w:t>
            </w:r>
            <w:proofErr w:type="gramEnd"/>
            <w:r w:rsidRPr="002A0F6C">
              <w:rPr>
                <w:rFonts w:eastAsia="Calibri" w:cs="Times New Roman"/>
                <w:b/>
                <w:bCs/>
                <w:sz w:val="22"/>
                <w:szCs w:val="22"/>
              </w:rPr>
              <w:t xml:space="preserve"> redirecting TOF funds to O&amp;M or roadway projects would require a statutory change. </w:t>
            </w:r>
            <w:r w:rsidRPr="002A0F6C">
              <w:rPr>
                <w:rFonts w:eastAsia="Calibri" w:cs="Times New Roman"/>
                <w:sz w:val="22"/>
                <w:szCs w:val="22"/>
              </w:rPr>
              <w:t xml:space="preserve"> </w:t>
            </w:r>
          </w:p>
        </w:tc>
        <w:tc>
          <w:tcPr>
            <w:tcW w:w="1053" w:type="dxa"/>
          </w:tcPr>
          <w:p w14:paraId="139D803F" w14:textId="77777777" w:rsidR="00E242E1" w:rsidRPr="002A0F6C" w:rsidRDefault="00E242E1" w:rsidP="00924E92">
            <w:pPr>
              <w:rPr>
                <w:rFonts w:eastAsia="Calibri" w:cs="Times New Roman"/>
                <w:sz w:val="22"/>
                <w:szCs w:val="22"/>
              </w:rPr>
            </w:pPr>
            <w:r w:rsidRPr="002A0F6C">
              <w:rPr>
                <w:rFonts w:eastAsia="Calibri" w:cs="Times New Roman"/>
                <w:sz w:val="22"/>
                <w:szCs w:val="22"/>
              </w:rPr>
              <w:t>184.642</w:t>
            </w:r>
          </w:p>
        </w:tc>
      </w:tr>
      <w:tr w:rsidR="00E242E1" w:rsidRPr="002A0F6C" w14:paraId="55E1715B" w14:textId="77777777" w:rsidTr="0048433D">
        <w:tc>
          <w:tcPr>
            <w:tcW w:w="2182" w:type="dxa"/>
          </w:tcPr>
          <w:p w14:paraId="6CBAF205" w14:textId="77777777" w:rsidR="00E242E1" w:rsidRPr="002A0F6C" w:rsidRDefault="00E242E1" w:rsidP="00924E92">
            <w:pPr>
              <w:rPr>
                <w:rFonts w:eastAsia="Calibri" w:cs="Times New Roman"/>
                <w:sz w:val="22"/>
                <w:szCs w:val="22"/>
              </w:rPr>
            </w:pPr>
            <w:r w:rsidRPr="002A0F6C">
              <w:rPr>
                <w:rFonts w:eastAsia="Calibri" w:cs="Times New Roman"/>
                <w:sz w:val="22"/>
                <w:szCs w:val="22"/>
              </w:rPr>
              <w:t>Redirect FHWA funding from the Oregon Community Paths Program for other eligible uses. Redirect TOF funds to operations and maintenance.</w:t>
            </w:r>
          </w:p>
        </w:tc>
        <w:tc>
          <w:tcPr>
            <w:tcW w:w="1400" w:type="dxa"/>
          </w:tcPr>
          <w:p w14:paraId="5AE398EF" w14:textId="77777777" w:rsidR="00E242E1" w:rsidRPr="002A0F6C" w:rsidRDefault="00E242E1" w:rsidP="00924E92">
            <w:pPr>
              <w:rPr>
                <w:rFonts w:eastAsia="Calibri" w:cs="Times New Roman"/>
                <w:sz w:val="22"/>
                <w:szCs w:val="22"/>
              </w:rPr>
            </w:pPr>
            <w:r w:rsidRPr="002A0F6C">
              <w:rPr>
                <w:rFonts w:eastAsia="Calibri" w:cs="Times New Roman"/>
                <w:sz w:val="22"/>
                <w:szCs w:val="22"/>
              </w:rPr>
              <w:t>39,163,168</w:t>
            </w:r>
          </w:p>
        </w:tc>
        <w:tc>
          <w:tcPr>
            <w:tcW w:w="5260" w:type="dxa"/>
          </w:tcPr>
          <w:p w14:paraId="686EF10C" w14:textId="77777777" w:rsidR="00E242E1" w:rsidRPr="002A0F6C" w:rsidRDefault="00E242E1" w:rsidP="00924E92">
            <w:pPr>
              <w:rPr>
                <w:rFonts w:eastAsia="Calibri" w:cs="Times New Roman"/>
                <w:b/>
                <w:bCs/>
                <w:sz w:val="22"/>
                <w:szCs w:val="22"/>
              </w:rPr>
            </w:pPr>
            <w:r w:rsidRPr="002A0F6C">
              <w:rPr>
                <w:rFonts w:eastAsia="Calibri" w:cs="Times New Roman"/>
                <w:sz w:val="22"/>
                <w:szCs w:val="22"/>
              </w:rPr>
              <w:t xml:space="preserve">Community paths </w:t>
            </w:r>
            <w:proofErr w:type="gramStart"/>
            <w:r w:rsidRPr="002A0F6C">
              <w:rPr>
                <w:rFonts w:eastAsia="Calibri" w:cs="Times New Roman"/>
                <w:sz w:val="22"/>
                <w:szCs w:val="22"/>
              </w:rPr>
              <w:t>is</w:t>
            </w:r>
            <w:proofErr w:type="gramEnd"/>
            <w:r w:rsidRPr="002A0F6C">
              <w:rPr>
                <w:rFonts w:eastAsia="Calibri" w:cs="Times New Roman"/>
                <w:sz w:val="22"/>
                <w:szCs w:val="22"/>
              </w:rPr>
              <w:t xml:space="preserve"> funded by FHWA Transportation Alternatives funding, funding from the Multimodal Active Transportation Fund dedicated by the Legislature, and Transportation Operating Fund Revenue. </w:t>
            </w:r>
            <w:r w:rsidRPr="002A0F6C">
              <w:rPr>
                <w:rFonts w:eastAsia="Calibri" w:cs="Times New Roman"/>
                <w:b/>
                <w:bCs/>
                <w:sz w:val="22"/>
                <w:szCs w:val="22"/>
              </w:rPr>
              <w:t>Redirecting other state funds to O&amp;M or roadway projects would require statutory changes</w:t>
            </w:r>
          </w:p>
        </w:tc>
        <w:tc>
          <w:tcPr>
            <w:tcW w:w="1053" w:type="dxa"/>
          </w:tcPr>
          <w:p w14:paraId="03224C9A" w14:textId="77777777" w:rsidR="00E242E1" w:rsidRPr="002A0F6C" w:rsidRDefault="00E242E1" w:rsidP="00924E92">
            <w:pPr>
              <w:rPr>
                <w:rFonts w:eastAsia="Calibri" w:cs="Times New Roman"/>
                <w:sz w:val="22"/>
                <w:szCs w:val="22"/>
              </w:rPr>
            </w:pPr>
            <w:r w:rsidRPr="002A0F6C">
              <w:rPr>
                <w:rFonts w:eastAsia="Calibri" w:cs="Times New Roman"/>
                <w:sz w:val="22"/>
                <w:szCs w:val="22"/>
              </w:rPr>
              <w:t>184.642 &amp; 367.091</w:t>
            </w:r>
          </w:p>
        </w:tc>
      </w:tr>
      <w:tr w:rsidR="00E242E1" w:rsidRPr="002A0F6C" w14:paraId="72411AD5" w14:textId="77777777" w:rsidTr="0048433D">
        <w:tc>
          <w:tcPr>
            <w:tcW w:w="2182" w:type="dxa"/>
          </w:tcPr>
          <w:p w14:paraId="44C69FDB"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Redirect Bicycle and Pedestrian Program Funding </w:t>
            </w:r>
          </w:p>
        </w:tc>
        <w:tc>
          <w:tcPr>
            <w:tcW w:w="1400" w:type="dxa"/>
          </w:tcPr>
          <w:p w14:paraId="12EF5F57" w14:textId="77777777" w:rsidR="00E242E1" w:rsidRPr="002A0F6C" w:rsidRDefault="00E242E1" w:rsidP="00924E92">
            <w:pPr>
              <w:rPr>
                <w:rFonts w:eastAsia="Calibri" w:cs="Times New Roman"/>
                <w:sz w:val="22"/>
                <w:szCs w:val="22"/>
              </w:rPr>
            </w:pPr>
            <w:r w:rsidRPr="002A0F6C">
              <w:rPr>
                <w:rFonts w:eastAsia="Calibri" w:cs="Times New Roman"/>
                <w:sz w:val="22"/>
                <w:szCs w:val="22"/>
              </w:rPr>
              <w:t>47,000,000</w:t>
            </w:r>
          </w:p>
        </w:tc>
        <w:tc>
          <w:tcPr>
            <w:tcW w:w="5260" w:type="dxa"/>
          </w:tcPr>
          <w:p w14:paraId="04294ABA"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The Bicycle and Pedestrian Program builds and improves bike lanes, sidewalks and crossings along state highways. It is required under the 1971 Bike Bill (ORS 366.514) that directs at least 1% of the State Highway Fund for walking and biking. </w:t>
            </w:r>
            <w:r w:rsidRPr="002A0F6C">
              <w:rPr>
                <w:rFonts w:eastAsia="Calibri" w:cs="Times New Roman"/>
                <w:b/>
                <w:bCs/>
                <w:sz w:val="22"/>
                <w:szCs w:val="22"/>
              </w:rPr>
              <w:t xml:space="preserve">Redirecting funds to O&amp;M or other types of projects would require a statutory change. </w:t>
            </w:r>
          </w:p>
        </w:tc>
        <w:tc>
          <w:tcPr>
            <w:tcW w:w="1053" w:type="dxa"/>
          </w:tcPr>
          <w:p w14:paraId="3F2464F0" w14:textId="77777777" w:rsidR="00E242E1" w:rsidRPr="002A0F6C" w:rsidRDefault="00E242E1" w:rsidP="00924E92">
            <w:pPr>
              <w:rPr>
                <w:rFonts w:eastAsia="Calibri" w:cs="Times New Roman"/>
                <w:sz w:val="22"/>
                <w:szCs w:val="22"/>
              </w:rPr>
            </w:pPr>
            <w:r w:rsidRPr="002A0F6C">
              <w:rPr>
                <w:rFonts w:eastAsia="Calibri" w:cs="Times New Roman"/>
                <w:sz w:val="22"/>
                <w:szCs w:val="22"/>
              </w:rPr>
              <w:t>366.514</w:t>
            </w:r>
          </w:p>
        </w:tc>
      </w:tr>
      <w:tr w:rsidR="00E242E1" w:rsidRPr="002A0F6C" w14:paraId="7CE3759C" w14:textId="77777777" w:rsidTr="0048433D">
        <w:tc>
          <w:tcPr>
            <w:tcW w:w="2182" w:type="dxa"/>
          </w:tcPr>
          <w:p w14:paraId="46AF60CE"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Redirect Passenger Rail Funding </w:t>
            </w:r>
          </w:p>
        </w:tc>
        <w:tc>
          <w:tcPr>
            <w:tcW w:w="1400" w:type="dxa"/>
          </w:tcPr>
          <w:p w14:paraId="51218964"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38,000,000 </w:t>
            </w:r>
          </w:p>
        </w:tc>
        <w:tc>
          <w:tcPr>
            <w:tcW w:w="5260" w:type="dxa"/>
          </w:tcPr>
          <w:p w14:paraId="0EA090E8"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This funding goes to Oregon passenger rail, primarily the Amtrak Cascades service to Eugene. State law dedicates revenue from custom license plates to passenger rail service. ODOT also provides off-road fuels tax to the service. </w:t>
            </w:r>
          </w:p>
        </w:tc>
        <w:tc>
          <w:tcPr>
            <w:tcW w:w="1053" w:type="dxa"/>
          </w:tcPr>
          <w:p w14:paraId="40E3C403" w14:textId="77777777" w:rsidR="00E242E1" w:rsidRPr="002A0F6C" w:rsidRDefault="00E242E1" w:rsidP="00924E92">
            <w:pPr>
              <w:rPr>
                <w:rFonts w:eastAsia="Calibri" w:cs="Times New Roman"/>
                <w:sz w:val="22"/>
                <w:szCs w:val="22"/>
              </w:rPr>
            </w:pPr>
            <w:r w:rsidRPr="002A0F6C">
              <w:rPr>
                <w:rFonts w:eastAsia="Calibri" w:cs="Times New Roman"/>
                <w:sz w:val="22"/>
                <w:szCs w:val="22"/>
              </w:rPr>
              <w:t>802.100</w:t>
            </w:r>
          </w:p>
        </w:tc>
      </w:tr>
      <w:tr w:rsidR="00E242E1" w:rsidRPr="002A0F6C" w14:paraId="6D67F2BE" w14:textId="77777777" w:rsidTr="0048433D">
        <w:tc>
          <w:tcPr>
            <w:tcW w:w="2182" w:type="dxa"/>
          </w:tcPr>
          <w:p w14:paraId="3D23EFA9"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Redirect Vehicle privilege Tax funding </w:t>
            </w:r>
          </w:p>
        </w:tc>
        <w:tc>
          <w:tcPr>
            <w:tcW w:w="1400" w:type="dxa"/>
          </w:tcPr>
          <w:p w14:paraId="26AE0854" w14:textId="77777777" w:rsidR="00E242E1" w:rsidRPr="002A0F6C" w:rsidRDefault="00E242E1" w:rsidP="00924E92">
            <w:pPr>
              <w:rPr>
                <w:rFonts w:eastAsia="Calibri" w:cs="Times New Roman"/>
                <w:sz w:val="22"/>
                <w:szCs w:val="22"/>
              </w:rPr>
            </w:pPr>
            <w:r w:rsidRPr="002A0F6C">
              <w:rPr>
                <w:rFonts w:eastAsia="Calibri" w:cs="Times New Roman"/>
                <w:sz w:val="22"/>
                <w:szCs w:val="22"/>
              </w:rPr>
              <w:t>35,000,000</w:t>
            </w:r>
          </w:p>
        </w:tc>
        <w:tc>
          <w:tcPr>
            <w:tcW w:w="5260" w:type="dxa"/>
          </w:tcPr>
          <w:p w14:paraId="7D824180"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State Law dedicates a portion of the 0.5% vehicle dealer privilege tax on new car sales to Connect Oregon projects for rail, marine/port, and aviation improvements that benefit Oregon’s economy. Redirecting funding to roads in 25-27 would require cancelling Connect Oregon that have already been awarded. </w:t>
            </w:r>
            <w:r w:rsidRPr="002A0F6C">
              <w:rPr>
                <w:rFonts w:eastAsia="Calibri" w:cs="Times New Roman"/>
                <w:b/>
                <w:bCs/>
                <w:sz w:val="22"/>
                <w:szCs w:val="22"/>
              </w:rPr>
              <w:t xml:space="preserve">Requires Statutory Change. </w:t>
            </w:r>
          </w:p>
        </w:tc>
        <w:tc>
          <w:tcPr>
            <w:tcW w:w="1053" w:type="dxa"/>
          </w:tcPr>
          <w:p w14:paraId="0917B42E" w14:textId="77777777" w:rsidR="00E242E1" w:rsidRPr="002A0F6C" w:rsidRDefault="00E242E1" w:rsidP="00924E92">
            <w:pPr>
              <w:rPr>
                <w:rFonts w:eastAsia="Calibri" w:cs="Times New Roman"/>
                <w:sz w:val="22"/>
                <w:szCs w:val="22"/>
              </w:rPr>
            </w:pPr>
            <w:r w:rsidRPr="002A0F6C">
              <w:rPr>
                <w:rFonts w:eastAsia="Calibri" w:cs="Times New Roman"/>
                <w:sz w:val="22"/>
                <w:szCs w:val="22"/>
              </w:rPr>
              <w:t>320.435</w:t>
            </w:r>
          </w:p>
        </w:tc>
      </w:tr>
      <w:tr w:rsidR="00E242E1" w:rsidRPr="002A0F6C" w14:paraId="7A1EBF3A" w14:textId="77777777" w:rsidTr="0048433D">
        <w:tc>
          <w:tcPr>
            <w:tcW w:w="2182" w:type="dxa"/>
          </w:tcPr>
          <w:p w14:paraId="47D85F67"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Redirect TOF funds from the climate office </w:t>
            </w:r>
          </w:p>
        </w:tc>
        <w:tc>
          <w:tcPr>
            <w:tcW w:w="1400" w:type="dxa"/>
          </w:tcPr>
          <w:p w14:paraId="52D0E056" w14:textId="77777777" w:rsidR="00E242E1" w:rsidRPr="002A0F6C" w:rsidRDefault="00E242E1" w:rsidP="00924E92">
            <w:pPr>
              <w:rPr>
                <w:rFonts w:eastAsia="Calibri" w:cs="Times New Roman"/>
                <w:sz w:val="22"/>
                <w:szCs w:val="22"/>
              </w:rPr>
            </w:pPr>
            <w:r w:rsidRPr="002A0F6C">
              <w:rPr>
                <w:rFonts w:eastAsia="Calibri" w:cs="Times New Roman"/>
                <w:sz w:val="22"/>
                <w:szCs w:val="22"/>
              </w:rPr>
              <w:t>11,000,000</w:t>
            </w:r>
          </w:p>
        </w:tc>
        <w:tc>
          <w:tcPr>
            <w:tcW w:w="5260" w:type="dxa"/>
          </w:tcPr>
          <w:p w14:paraId="323B2EFE"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Most funding for the Climate Office comes from federal grants that cannot be redirected. Redirecting Transportation Operating Fund resources provided for the Community Charging rebate program and other purposes to O&amp;M or other roadway projects </w:t>
            </w:r>
            <w:r w:rsidRPr="002A0F6C">
              <w:rPr>
                <w:rFonts w:eastAsia="Calibri" w:cs="Times New Roman"/>
                <w:b/>
                <w:bCs/>
                <w:sz w:val="22"/>
                <w:szCs w:val="22"/>
              </w:rPr>
              <w:t xml:space="preserve">would require a statutory change. </w:t>
            </w:r>
          </w:p>
        </w:tc>
        <w:tc>
          <w:tcPr>
            <w:tcW w:w="1053" w:type="dxa"/>
          </w:tcPr>
          <w:p w14:paraId="23868165" w14:textId="77777777" w:rsidR="00E242E1" w:rsidRPr="002A0F6C" w:rsidRDefault="00E242E1" w:rsidP="00924E92">
            <w:pPr>
              <w:rPr>
                <w:rFonts w:eastAsia="Calibri" w:cs="Times New Roman"/>
                <w:sz w:val="22"/>
                <w:szCs w:val="22"/>
              </w:rPr>
            </w:pPr>
            <w:r w:rsidRPr="002A0F6C">
              <w:rPr>
                <w:rFonts w:eastAsia="Calibri" w:cs="Times New Roman"/>
                <w:sz w:val="22"/>
                <w:szCs w:val="22"/>
              </w:rPr>
              <w:t>184.642</w:t>
            </w:r>
          </w:p>
        </w:tc>
      </w:tr>
      <w:tr w:rsidR="00E242E1" w:rsidRPr="002A0F6C" w14:paraId="3531CC07" w14:textId="77777777" w:rsidTr="0048433D">
        <w:tc>
          <w:tcPr>
            <w:tcW w:w="2182" w:type="dxa"/>
          </w:tcPr>
          <w:p w14:paraId="089B157A"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Climate Office Reductions </w:t>
            </w:r>
          </w:p>
        </w:tc>
        <w:tc>
          <w:tcPr>
            <w:tcW w:w="1400" w:type="dxa"/>
          </w:tcPr>
          <w:p w14:paraId="4093911C" w14:textId="77777777" w:rsidR="00E242E1" w:rsidRPr="002A0F6C" w:rsidRDefault="00E242E1" w:rsidP="00924E92">
            <w:pPr>
              <w:rPr>
                <w:rFonts w:eastAsia="Calibri" w:cs="Times New Roman"/>
                <w:sz w:val="22"/>
                <w:szCs w:val="22"/>
              </w:rPr>
            </w:pPr>
            <w:r w:rsidRPr="002A0F6C">
              <w:rPr>
                <w:rFonts w:eastAsia="Calibri" w:cs="Times New Roman"/>
                <w:sz w:val="22"/>
                <w:szCs w:val="22"/>
              </w:rPr>
              <w:t>7,700,000</w:t>
            </w:r>
          </w:p>
        </w:tc>
        <w:tc>
          <w:tcPr>
            <w:tcW w:w="5260" w:type="dxa"/>
          </w:tcPr>
          <w:p w14:paraId="7832A3F4" w14:textId="77777777" w:rsidR="00E242E1" w:rsidRPr="002A0F6C" w:rsidRDefault="00E242E1" w:rsidP="00924E92">
            <w:pPr>
              <w:rPr>
                <w:rFonts w:eastAsia="Calibri" w:cs="Times New Roman"/>
                <w:b/>
                <w:bCs/>
                <w:sz w:val="22"/>
                <w:szCs w:val="22"/>
              </w:rPr>
            </w:pPr>
            <w:r w:rsidRPr="002A0F6C">
              <w:rPr>
                <w:rFonts w:eastAsia="Calibri" w:cs="Times New Roman"/>
                <w:sz w:val="22"/>
                <w:szCs w:val="22"/>
              </w:rPr>
              <w:t xml:space="preserve">Combination of federal savings ($4.7m) and other state savings from Transportation Operating Fund (TOF) ($3.5M). Eliminates funding for MPOs to conduct regional scenario planning and reduces match for federal funds. </w:t>
            </w:r>
            <w:r w:rsidRPr="002A0F6C">
              <w:rPr>
                <w:rFonts w:eastAsia="Calibri" w:cs="Times New Roman"/>
                <w:b/>
                <w:bCs/>
                <w:sz w:val="22"/>
                <w:szCs w:val="22"/>
              </w:rPr>
              <w:t xml:space="preserve">An amendment to the TOF statute would be required to allow this to be </w:t>
            </w:r>
            <w:r w:rsidRPr="002A0F6C">
              <w:rPr>
                <w:rFonts w:eastAsia="Calibri" w:cs="Times New Roman"/>
                <w:b/>
                <w:bCs/>
                <w:sz w:val="22"/>
                <w:szCs w:val="22"/>
              </w:rPr>
              <w:lastRenderedPageBreak/>
              <w:t xml:space="preserve">redirected to operations and maintenance or construction projects. </w:t>
            </w:r>
          </w:p>
        </w:tc>
        <w:tc>
          <w:tcPr>
            <w:tcW w:w="1053" w:type="dxa"/>
          </w:tcPr>
          <w:p w14:paraId="49C8BE1A" w14:textId="77777777" w:rsidR="00E242E1" w:rsidRPr="002A0F6C" w:rsidRDefault="00E242E1" w:rsidP="00924E92">
            <w:pPr>
              <w:rPr>
                <w:rFonts w:eastAsia="Calibri" w:cs="Times New Roman"/>
                <w:sz w:val="22"/>
                <w:szCs w:val="22"/>
              </w:rPr>
            </w:pPr>
            <w:r w:rsidRPr="002A0F6C">
              <w:rPr>
                <w:rFonts w:eastAsia="Calibri" w:cs="Times New Roman"/>
                <w:b/>
                <w:bCs/>
                <w:sz w:val="22"/>
                <w:szCs w:val="22"/>
              </w:rPr>
              <w:lastRenderedPageBreak/>
              <w:t>Not listed.</w:t>
            </w:r>
            <w:r w:rsidRPr="002A0F6C">
              <w:rPr>
                <w:rFonts w:eastAsia="Calibri" w:cs="Times New Roman"/>
                <w:sz w:val="22"/>
                <w:szCs w:val="22"/>
              </w:rPr>
              <w:t xml:space="preserve"> Probably 184.642</w:t>
            </w:r>
          </w:p>
        </w:tc>
      </w:tr>
      <w:tr w:rsidR="00E242E1" w:rsidRPr="002A0F6C" w14:paraId="3DE2BB3E" w14:textId="77777777" w:rsidTr="0048433D">
        <w:tc>
          <w:tcPr>
            <w:tcW w:w="2182" w:type="dxa"/>
          </w:tcPr>
          <w:p w14:paraId="526D078D" w14:textId="77777777" w:rsidR="00E242E1" w:rsidRPr="002A0F6C" w:rsidRDefault="00E242E1" w:rsidP="00924E92">
            <w:pPr>
              <w:rPr>
                <w:rFonts w:eastAsia="Calibri" w:cs="Times New Roman"/>
                <w:sz w:val="22"/>
                <w:szCs w:val="22"/>
              </w:rPr>
            </w:pPr>
            <w:r w:rsidRPr="002A0F6C">
              <w:rPr>
                <w:rFonts w:eastAsia="Calibri" w:cs="Times New Roman"/>
                <w:sz w:val="22"/>
                <w:szCs w:val="22"/>
              </w:rPr>
              <w:t>Eliminate Community Charging Rebates</w:t>
            </w:r>
          </w:p>
        </w:tc>
        <w:tc>
          <w:tcPr>
            <w:tcW w:w="1400" w:type="dxa"/>
          </w:tcPr>
          <w:p w14:paraId="3BC7925A" w14:textId="77777777" w:rsidR="00E242E1" w:rsidRPr="002A0F6C" w:rsidRDefault="00E242E1" w:rsidP="00924E92">
            <w:pPr>
              <w:rPr>
                <w:rFonts w:eastAsia="Calibri" w:cs="Times New Roman"/>
                <w:sz w:val="22"/>
                <w:szCs w:val="22"/>
              </w:rPr>
            </w:pPr>
            <w:r w:rsidRPr="002A0F6C">
              <w:rPr>
                <w:rFonts w:eastAsia="Calibri" w:cs="Times New Roman"/>
                <w:sz w:val="22"/>
                <w:szCs w:val="22"/>
              </w:rPr>
              <w:t>8,000,000</w:t>
            </w:r>
          </w:p>
        </w:tc>
        <w:tc>
          <w:tcPr>
            <w:tcW w:w="5260" w:type="dxa"/>
          </w:tcPr>
          <w:p w14:paraId="72465046" w14:textId="77777777" w:rsidR="00E242E1" w:rsidRPr="002A0F6C" w:rsidRDefault="00E242E1" w:rsidP="00924E92">
            <w:pPr>
              <w:rPr>
                <w:rFonts w:eastAsia="Calibri" w:cs="Times New Roman"/>
                <w:b/>
                <w:bCs/>
                <w:sz w:val="22"/>
                <w:szCs w:val="22"/>
              </w:rPr>
            </w:pPr>
            <w:r w:rsidRPr="002A0F6C">
              <w:rPr>
                <w:rFonts w:eastAsia="Calibri" w:cs="Times New Roman"/>
                <w:sz w:val="22"/>
                <w:szCs w:val="22"/>
              </w:rPr>
              <w:t xml:space="preserve">ODOT has dedicated Transportation Operating Fund (TOF) money to the Community Charging rebate program for the installation of EV charging stations. </w:t>
            </w:r>
            <w:r w:rsidRPr="002A0F6C">
              <w:rPr>
                <w:rFonts w:eastAsia="Calibri" w:cs="Times New Roman"/>
                <w:b/>
                <w:bCs/>
                <w:sz w:val="22"/>
                <w:szCs w:val="22"/>
              </w:rPr>
              <w:t xml:space="preserve">An amendment to the TOF statute would be required to allow this to be redirected to operations and maintenance or construction projects. </w:t>
            </w:r>
          </w:p>
        </w:tc>
        <w:tc>
          <w:tcPr>
            <w:tcW w:w="1053" w:type="dxa"/>
          </w:tcPr>
          <w:p w14:paraId="0E827582" w14:textId="77777777" w:rsidR="00E242E1" w:rsidRPr="002A0F6C" w:rsidRDefault="00E242E1" w:rsidP="00924E92">
            <w:pPr>
              <w:rPr>
                <w:rFonts w:eastAsia="Calibri" w:cs="Times New Roman"/>
                <w:sz w:val="22"/>
                <w:szCs w:val="22"/>
              </w:rPr>
            </w:pPr>
            <w:r w:rsidRPr="002A0F6C">
              <w:rPr>
                <w:rFonts w:eastAsia="Calibri" w:cs="Times New Roman"/>
                <w:b/>
                <w:bCs/>
                <w:sz w:val="22"/>
                <w:szCs w:val="22"/>
              </w:rPr>
              <w:t xml:space="preserve">Not Listed. </w:t>
            </w:r>
            <w:r w:rsidRPr="002A0F6C">
              <w:rPr>
                <w:rFonts w:eastAsia="Calibri" w:cs="Times New Roman"/>
                <w:sz w:val="22"/>
                <w:szCs w:val="22"/>
              </w:rPr>
              <w:t>Probably 184.642</w:t>
            </w:r>
          </w:p>
        </w:tc>
      </w:tr>
      <w:tr w:rsidR="00E242E1" w:rsidRPr="002A0F6C" w14:paraId="4F1D0E3D" w14:textId="77777777" w:rsidTr="0048433D">
        <w:tc>
          <w:tcPr>
            <w:tcW w:w="2182" w:type="dxa"/>
          </w:tcPr>
          <w:p w14:paraId="3E360A26"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Redirect State Transportation Improvement funds to Operations and Management or Other uses. </w:t>
            </w:r>
          </w:p>
        </w:tc>
        <w:tc>
          <w:tcPr>
            <w:tcW w:w="1400" w:type="dxa"/>
          </w:tcPr>
          <w:p w14:paraId="3A30185D" w14:textId="77777777" w:rsidR="00E242E1" w:rsidRPr="002A0F6C" w:rsidRDefault="00E242E1" w:rsidP="00924E92">
            <w:pPr>
              <w:rPr>
                <w:rFonts w:eastAsia="Calibri" w:cs="Times New Roman"/>
                <w:sz w:val="22"/>
                <w:szCs w:val="22"/>
              </w:rPr>
            </w:pPr>
            <w:r w:rsidRPr="002A0F6C">
              <w:rPr>
                <w:rFonts w:eastAsia="Calibri" w:cs="Times New Roman"/>
                <w:sz w:val="22"/>
                <w:szCs w:val="22"/>
              </w:rPr>
              <w:t xml:space="preserve">306,700,000 </w:t>
            </w:r>
          </w:p>
        </w:tc>
        <w:tc>
          <w:tcPr>
            <w:tcW w:w="5260" w:type="dxa"/>
          </w:tcPr>
          <w:p w14:paraId="62238957" w14:textId="77777777" w:rsidR="00E242E1" w:rsidRPr="002A0F6C" w:rsidRDefault="00E242E1" w:rsidP="00924E92">
            <w:pPr>
              <w:rPr>
                <w:rFonts w:eastAsia="Calibri" w:cs="Times New Roman"/>
                <w:b/>
                <w:bCs/>
                <w:sz w:val="22"/>
                <w:szCs w:val="22"/>
              </w:rPr>
            </w:pPr>
            <w:r w:rsidRPr="002A0F6C">
              <w:rPr>
                <w:rFonts w:eastAsia="Calibri" w:cs="Times New Roman"/>
                <w:sz w:val="22"/>
                <w:szCs w:val="22"/>
              </w:rPr>
              <w:t xml:space="preserve">State law, established in HB 2017, designates the payroll tax and other revenues for public transportation; funding goes to transit providers across the state for public transportation services. </w:t>
            </w:r>
            <w:r w:rsidRPr="002A0F6C">
              <w:rPr>
                <w:rFonts w:eastAsia="Calibri" w:cs="Times New Roman"/>
                <w:b/>
                <w:bCs/>
                <w:sz w:val="22"/>
                <w:szCs w:val="22"/>
              </w:rPr>
              <w:t xml:space="preserve"> Redirecting funding to highway purposes could be done with a change in statute.</w:t>
            </w:r>
          </w:p>
        </w:tc>
        <w:tc>
          <w:tcPr>
            <w:tcW w:w="1053" w:type="dxa"/>
          </w:tcPr>
          <w:p w14:paraId="0858BB7B" w14:textId="77777777" w:rsidR="00E242E1" w:rsidRPr="002A0F6C" w:rsidRDefault="00E242E1" w:rsidP="00924E92">
            <w:pPr>
              <w:rPr>
                <w:rFonts w:eastAsia="Calibri" w:cs="Times New Roman"/>
                <w:sz w:val="22"/>
                <w:szCs w:val="22"/>
              </w:rPr>
            </w:pPr>
            <w:r w:rsidRPr="002A0F6C">
              <w:rPr>
                <w:rFonts w:eastAsia="Calibri" w:cs="Times New Roman"/>
                <w:sz w:val="22"/>
                <w:szCs w:val="22"/>
              </w:rPr>
              <w:t>184.751-766</w:t>
            </w:r>
          </w:p>
        </w:tc>
      </w:tr>
    </w:tbl>
    <w:p w14:paraId="3F8471D5" w14:textId="77777777" w:rsidR="002A0F6C" w:rsidRDefault="002A0F6C" w:rsidP="00924E92">
      <w:pPr>
        <w:spacing w:line="240" w:lineRule="auto"/>
        <w:rPr>
          <w:b/>
          <w:bCs/>
        </w:rPr>
      </w:pPr>
    </w:p>
    <w:p w14:paraId="372F2955" w14:textId="08299D4E" w:rsidR="00E242E1" w:rsidRPr="002A0F6C" w:rsidRDefault="00E242E1" w:rsidP="00924E92">
      <w:pPr>
        <w:spacing w:line="240" w:lineRule="auto"/>
        <w:rPr>
          <w:b/>
          <w:bCs/>
        </w:rPr>
      </w:pPr>
      <w:r w:rsidRPr="002A0F6C">
        <w:rPr>
          <w:b/>
          <w:bCs/>
        </w:rPr>
        <w:t xml:space="preserve">Total: $502,563,168 </w:t>
      </w:r>
    </w:p>
    <w:p w14:paraId="2751617F" w14:textId="51622A3A" w:rsidR="00E242E1" w:rsidRPr="002A0F6C" w:rsidRDefault="00E242E1" w:rsidP="00924E92">
      <w:pPr>
        <w:spacing w:line="240" w:lineRule="auto"/>
        <w:rPr>
          <w:b/>
          <w:bCs/>
        </w:rPr>
      </w:pPr>
      <w:r w:rsidRPr="002A0F6C">
        <w:rPr>
          <w:b/>
          <w:bCs/>
        </w:rPr>
        <w:t xml:space="preserve">Total taking only $100M from STIF: $302,563,168 </w:t>
      </w:r>
    </w:p>
    <w:p w14:paraId="6714F9BF" w14:textId="6433BF4B" w:rsidR="009E0B45" w:rsidRPr="00C00E35" w:rsidRDefault="0048149E" w:rsidP="00924E92">
      <w:pPr>
        <w:spacing w:line="240" w:lineRule="auto"/>
      </w:pPr>
      <w:r w:rsidRPr="00C00E35">
        <w:t>The above are simple statutory changes that will allow ODOT some flexibility to shift funds around. There are dozens of other areas that money could be found</w:t>
      </w:r>
      <w:r w:rsidR="00E332CD" w:rsidRPr="00C00E35">
        <w:t>.</w:t>
      </w:r>
    </w:p>
    <w:sectPr w:rsidR="009E0B45" w:rsidRPr="00C00E35" w:rsidSect="00924E92">
      <w:footerReference w:type="defaul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38C7" w14:textId="77777777" w:rsidR="00130685" w:rsidRDefault="00130685" w:rsidP="0048149E">
      <w:pPr>
        <w:spacing w:after="0" w:line="240" w:lineRule="auto"/>
      </w:pPr>
      <w:r>
        <w:separator/>
      </w:r>
    </w:p>
  </w:endnote>
  <w:endnote w:type="continuationSeparator" w:id="0">
    <w:p w14:paraId="47EDEA09" w14:textId="77777777" w:rsidR="00130685" w:rsidRDefault="00130685" w:rsidP="0048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EE26" w14:textId="6AE579B4" w:rsidR="0048149E" w:rsidRDefault="0048149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6F69" w14:textId="77777777" w:rsidR="00130685" w:rsidRDefault="00130685" w:rsidP="0048149E">
      <w:pPr>
        <w:spacing w:after="0" w:line="240" w:lineRule="auto"/>
      </w:pPr>
      <w:r>
        <w:separator/>
      </w:r>
    </w:p>
  </w:footnote>
  <w:footnote w:type="continuationSeparator" w:id="0">
    <w:p w14:paraId="5D39FE70" w14:textId="77777777" w:rsidR="00130685" w:rsidRDefault="00130685" w:rsidP="0048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11F"/>
    <w:multiLevelType w:val="hybridMultilevel"/>
    <w:tmpl w:val="6492CD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326227"/>
    <w:multiLevelType w:val="hybridMultilevel"/>
    <w:tmpl w:val="0316DD8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7097D"/>
    <w:multiLevelType w:val="hybridMultilevel"/>
    <w:tmpl w:val="A526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6299"/>
    <w:multiLevelType w:val="hybridMultilevel"/>
    <w:tmpl w:val="973A3B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4B2320"/>
    <w:multiLevelType w:val="hybridMultilevel"/>
    <w:tmpl w:val="C004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40B5"/>
    <w:multiLevelType w:val="hybridMultilevel"/>
    <w:tmpl w:val="E4807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B265AE"/>
    <w:multiLevelType w:val="hybridMultilevel"/>
    <w:tmpl w:val="0F98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B7361"/>
    <w:multiLevelType w:val="hybridMultilevel"/>
    <w:tmpl w:val="1EE0D7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6124308"/>
    <w:multiLevelType w:val="hybridMultilevel"/>
    <w:tmpl w:val="8C66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5513F"/>
    <w:multiLevelType w:val="hybridMultilevel"/>
    <w:tmpl w:val="4D64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B176C"/>
    <w:multiLevelType w:val="hybridMultilevel"/>
    <w:tmpl w:val="C6CC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2045A"/>
    <w:multiLevelType w:val="hybridMultilevel"/>
    <w:tmpl w:val="7DCC6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352C94"/>
    <w:multiLevelType w:val="hybridMultilevel"/>
    <w:tmpl w:val="789C8B3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B55F5E"/>
    <w:multiLevelType w:val="hybridMultilevel"/>
    <w:tmpl w:val="29724F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4FF5A1B"/>
    <w:multiLevelType w:val="hybridMultilevel"/>
    <w:tmpl w:val="0804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79203">
    <w:abstractNumId w:val="12"/>
  </w:num>
  <w:num w:numId="2" w16cid:durableId="1212154696">
    <w:abstractNumId w:val="5"/>
  </w:num>
  <w:num w:numId="3" w16cid:durableId="185019211">
    <w:abstractNumId w:val="1"/>
  </w:num>
  <w:num w:numId="4" w16cid:durableId="1488788890">
    <w:abstractNumId w:val="13"/>
  </w:num>
  <w:num w:numId="5" w16cid:durableId="1816140691">
    <w:abstractNumId w:val="3"/>
  </w:num>
  <w:num w:numId="6" w16cid:durableId="323238785">
    <w:abstractNumId w:val="0"/>
  </w:num>
  <w:num w:numId="7" w16cid:durableId="658191847">
    <w:abstractNumId w:val="7"/>
  </w:num>
  <w:num w:numId="8" w16cid:durableId="1820077344">
    <w:abstractNumId w:val="10"/>
  </w:num>
  <w:num w:numId="9" w16cid:durableId="272905348">
    <w:abstractNumId w:val="14"/>
  </w:num>
  <w:num w:numId="10" w16cid:durableId="1383560767">
    <w:abstractNumId w:val="8"/>
  </w:num>
  <w:num w:numId="11" w16cid:durableId="1394769758">
    <w:abstractNumId w:val="4"/>
  </w:num>
  <w:num w:numId="12" w16cid:durableId="275866112">
    <w:abstractNumId w:val="11"/>
  </w:num>
  <w:num w:numId="13" w16cid:durableId="1018384886">
    <w:abstractNumId w:val="2"/>
  </w:num>
  <w:num w:numId="14" w16cid:durableId="414979288">
    <w:abstractNumId w:val="9"/>
  </w:num>
  <w:num w:numId="15" w16cid:durableId="661474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E1"/>
    <w:rsid w:val="00130685"/>
    <w:rsid w:val="002A0F6C"/>
    <w:rsid w:val="002E2771"/>
    <w:rsid w:val="0040432D"/>
    <w:rsid w:val="0042121E"/>
    <w:rsid w:val="00421FA5"/>
    <w:rsid w:val="0048149E"/>
    <w:rsid w:val="0055467F"/>
    <w:rsid w:val="005A0706"/>
    <w:rsid w:val="006A3B72"/>
    <w:rsid w:val="007B738D"/>
    <w:rsid w:val="007D4D5C"/>
    <w:rsid w:val="00887963"/>
    <w:rsid w:val="008E066E"/>
    <w:rsid w:val="008F5C6D"/>
    <w:rsid w:val="00924E92"/>
    <w:rsid w:val="009E0B45"/>
    <w:rsid w:val="00A7414F"/>
    <w:rsid w:val="00AC77A4"/>
    <w:rsid w:val="00C00E35"/>
    <w:rsid w:val="00CF502C"/>
    <w:rsid w:val="00CF54F6"/>
    <w:rsid w:val="00E075F1"/>
    <w:rsid w:val="00E242E1"/>
    <w:rsid w:val="00E332CD"/>
    <w:rsid w:val="00F7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BCFF"/>
  <w15:chartTrackingRefBased/>
  <w15:docId w15:val="{178D2FCE-3BB0-45D9-A342-72BB7115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2E1"/>
    <w:rPr>
      <w:rFonts w:eastAsiaTheme="majorEastAsia" w:cstheme="majorBidi"/>
      <w:color w:val="272727" w:themeColor="text1" w:themeTint="D8"/>
    </w:rPr>
  </w:style>
  <w:style w:type="paragraph" w:styleId="Title">
    <w:name w:val="Title"/>
    <w:basedOn w:val="Normal"/>
    <w:next w:val="Normal"/>
    <w:link w:val="TitleChar"/>
    <w:uiPriority w:val="10"/>
    <w:qFormat/>
    <w:rsid w:val="00E24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2E1"/>
    <w:pPr>
      <w:spacing w:before="160"/>
      <w:jc w:val="center"/>
    </w:pPr>
    <w:rPr>
      <w:i/>
      <w:iCs/>
      <w:color w:val="404040" w:themeColor="text1" w:themeTint="BF"/>
    </w:rPr>
  </w:style>
  <w:style w:type="character" w:customStyle="1" w:styleId="QuoteChar">
    <w:name w:val="Quote Char"/>
    <w:basedOn w:val="DefaultParagraphFont"/>
    <w:link w:val="Quote"/>
    <w:uiPriority w:val="29"/>
    <w:rsid w:val="00E242E1"/>
    <w:rPr>
      <w:i/>
      <w:iCs/>
      <w:color w:val="404040" w:themeColor="text1" w:themeTint="BF"/>
    </w:rPr>
  </w:style>
  <w:style w:type="paragraph" w:styleId="ListParagraph">
    <w:name w:val="List Paragraph"/>
    <w:basedOn w:val="Normal"/>
    <w:uiPriority w:val="34"/>
    <w:qFormat/>
    <w:rsid w:val="00E242E1"/>
    <w:pPr>
      <w:ind w:left="720"/>
      <w:contextualSpacing/>
    </w:pPr>
  </w:style>
  <w:style w:type="character" w:styleId="IntenseEmphasis">
    <w:name w:val="Intense Emphasis"/>
    <w:basedOn w:val="DefaultParagraphFont"/>
    <w:uiPriority w:val="21"/>
    <w:qFormat/>
    <w:rsid w:val="00E242E1"/>
    <w:rPr>
      <w:i/>
      <w:iCs/>
      <w:color w:val="0F4761" w:themeColor="accent1" w:themeShade="BF"/>
    </w:rPr>
  </w:style>
  <w:style w:type="paragraph" w:styleId="IntenseQuote">
    <w:name w:val="Intense Quote"/>
    <w:basedOn w:val="Normal"/>
    <w:next w:val="Normal"/>
    <w:link w:val="IntenseQuoteChar"/>
    <w:uiPriority w:val="30"/>
    <w:qFormat/>
    <w:rsid w:val="00E24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2E1"/>
    <w:rPr>
      <w:i/>
      <w:iCs/>
      <w:color w:val="0F4761" w:themeColor="accent1" w:themeShade="BF"/>
    </w:rPr>
  </w:style>
  <w:style w:type="character" w:styleId="IntenseReference">
    <w:name w:val="Intense Reference"/>
    <w:basedOn w:val="DefaultParagraphFont"/>
    <w:uiPriority w:val="32"/>
    <w:qFormat/>
    <w:rsid w:val="00E242E1"/>
    <w:rPr>
      <w:b/>
      <w:bCs/>
      <w:smallCaps/>
      <w:color w:val="0F4761" w:themeColor="accent1" w:themeShade="BF"/>
      <w:spacing w:val="5"/>
    </w:rPr>
  </w:style>
  <w:style w:type="table" w:customStyle="1" w:styleId="TableGrid1">
    <w:name w:val="Table Grid1"/>
    <w:basedOn w:val="TableNormal"/>
    <w:next w:val="TableGrid"/>
    <w:uiPriority w:val="39"/>
    <w:rsid w:val="00E24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4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432D"/>
    <w:rPr>
      <w:color w:val="467886" w:themeColor="hyperlink"/>
      <w:u w:val="single"/>
    </w:rPr>
  </w:style>
  <w:style w:type="character" w:styleId="UnresolvedMention">
    <w:name w:val="Unresolved Mention"/>
    <w:basedOn w:val="DefaultParagraphFont"/>
    <w:uiPriority w:val="99"/>
    <w:semiHidden/>
    <w:unhideWhenUsed/>
    <w:rsid w:val="0040432D"/>
    <w:rPr>
      <w:color w:val="605E5C"/>
      <w:shd w:val="clear" w:color="auto" w:fill="E1DFDD"/>
    </w:rPr>
  </w:style>
  <w:style w:type="paragraph" w:styleId="Header">
    <w:name w:val="header"/>
    <w:basedOn w:val="Normal"/>
    <w:link w:val="HeaderChar"/>
    <w:uiPriority w:val="99"/>
    <w:unhideWhenUsed/>
    <w:rsid w:val="0048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49E"/>
  </w:style>
  <w:style w:type="paragraph" w:styleId="Footer">
    <w:name w:val="footer"/>
    <w:basedOn w:val="Normal"/>
    <w:link w:val="FooterChar"/>
    <w:uiPriority w:val="99"/>
    <w:unhideWhenUsed/>
    <w:rsid w:val="0048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live.com/opinion/2025/08/editorial-billions-in-new-taxes-should-come-with-a-commitment.html" TargetMode="External"/><Relationship Id="rId13" Type="http://schemas.openxmlformats.org/officeDocument/2006/relationships/hyperlink" Target="https://www.oregonlive.com/politics/2019/06/cap-and-trade-what-could-oregons-carbon-policy-cost-you.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lis.oregonlegislature.gov/liz/mediaplayer/?clientID=4879615486&amp;eventID=20250512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tu.com/newsletter-daily/oregon-dmv-brings-in-millions-selling-your-information-heres-wh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pb.org/article/2025/07/11/oregon-adopts-clean-trucks-rules/" TargetMode="External"/><Relationship Id="rId4" Type="http://schemas.openxmlformats.org/officeDocument/2006/relationships/webSettings" Target="webSettings.xml"/><Relationship Id="rId9" Type="http://schemas.openxmlformats.org/officeDocument/2006/relationships/hyperlink" Target="https://www.opb.org/news/article/oregon-department-transportation-settlement-disability-righ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Oregon Legislature</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Brecht Justin</dc:creator>
  <cp:keywords/>
  <dc:description/>
  <cp:lastModifiedBy>Girsch Emily</cp:lastModifiedBy>
  <cp:revision>2</cp:revision>
  <cp:lastPrinted>2025-08-28T22:26:00Z</cp:lastPrinted>
  <dcterms:created xsi:type="dcterms:W3CDTF">2025-08-29T16:24:00Z</dcterms:created>
  <dcterms:modified xsi:type="dcterms:W3CDTF">2025-08-29T16:24:00Z</dcterms:modified>
</cp:coreProperties>
</file>